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jc w:val="center"/>
        <w:spacing w:after="120"/>
      </w:pPr>
      <w:r>
        <w:rPr>
          <w:b/>
          <w:sz w:val="32"/>
        </w:rPr>
        <w:t>RESUME</w:t>
      </w:r>
    </w:p>
    <w:p>
      <w:pPr>
        <w:pStyle w:val="Normal"/>
        <w:jc w:val="center"/>
        <w:spacing w:after="120"/>
        <w:rPr>
          <w:b/>
          <w:sz w:val="32"/>
        </w:rPr>
      </w:pPr>
      <w:r>
        <w:rPr>
          <w:b/>
          <w:sz w:val="32"/>
        </w:rPr>
        <w:t>Kjell A. Ostensen</w:t>
      </w:r>
      <w:r>
        <w:rPr>
          <w:b/>
          <w:sz w:val="32"/>
        </w:rPr>
        <w:t>, P.E.</w:t>
      </w:r>
    </w:p>
    <w:p>
      <w:pPr>
        <w:pStyle w:val="Normal"/>
        <w:jc w:val="both"/>
        <w:spacing w:after="120"/>
        <w:rPr>
          <w:b/>
          <w:sz w:val="28"/>
        </w:rPr>
      </w:pPr>
    </w:p>
    <w:p>
      <w:pPr>
        <w:pStyle w:val="Heading3"/>
      </w:pPr>
      <w:r>
        <w:rPr/>
        <w:t>Engineering Experience</w:t>
      </w:r>
    </w:p>
    <w:p>
      <w:pPr>
        <w:pStyle w:val="Normal"/>
        <w:jc w:val="both"/>
        <w:spacing w:before="120" w:after="120"/>
      </w:pPr>
      <w:r>
        <w:rPr>
          <w:b/>
          <w:sz w:val="24"/>
        </w:rPr>
        <w:t>Los Angeles Department of Water and Power (1985 – 2016 Retirement):</w:t>
      </w:r>
    </w:p>
    <w:p>
      <w:pPr>
        <w:pStyle w:val="Normal"/>
        <w:jc w:val="both"/>
        <w:spacing w:after="120"/>
      </w:pPr>
      <w:r>
        <w:rPr>
          <w:b/>
          <w:sz w:val="24"/>
        </w:rPr>
        <w:t xml:space="preserve">Planning and Development Section (current): </w:t>
      </w:r>
      <w:r>
        <w:rPr>
          <w:sz w:val="24"/>
        </w:rPr>
        <w:t>Development and Power Purchase Agreements, Geothermal, Biomass and Small-hydro Projects</w:t>
      </w:r>
    </w:p>
    <w:p>
      <w:pPr>
        <w:pStyle w:val="Normal"/>
        <w:jc w:val="both"/>
        <w:spacing w:after="120"/>
      </w:pPr>
      <w:r>
        <w:rPr>
          <w:b/>
          <w:sz w:val="24"/>
        </w:rPr>
        <w:t>Distributed Generation Program –</w:t>
      </w:r>
      <w:r>
        <w:rPr>
          <w:sz w:val="24"/>
        </w:rPr>
        <w:t xml:space="preserve"> Manager of Fuel Cell Program.</w:t>
      </w:r>
    </w:p>
    <w:p>
      <w:pPr>
        <w:pStyle w:val="Normal"/>
        <w:jc w:val="both"/>
        <w:spacing w:after="120"/>
      </w:pPr>
      <w:r>
        <w:rPr>
          <w:b/>
          <w:sz w:val="24"/>
        </w:rPr>
        <w:t>Energy Control Center</w:t>
      </w:r>
      <w:r>
        <w:rPr>
          <w:sz w:val="24"/>
        </w:rPr>
        <w:t xml:space="preserve"> - Performed day-ahead wholesale power marketing and analysis for long-term power contracts. Representative with WSCC Loads and Resources Subcommittee</w:t>
      </w:r>
    </w:p>
    <w:p>
      <w:pPr>
        <w:pStyle w:val="Normal"/>
        <w:jc w:val="both"/>
        <w:spacing w:after="120"/>
      </w:pPr>
      <w:r>
        <w:rPr>
          <w:b/>
          <w:sz w:val="24"/>
        </w:rPr>
        <w:t xml:space="preserve">Santa Clara 2-MW Fuel Cell Demonstration Project, Resident Engineer – </w:t>
      </w:r>
      <w:r>
        <w:rPr>
          <w:sz w:val="24"/>
        </w:rPr>
        <w:t>Represented project participants at engineering firm Fluor Daniel and participated in the development of solid state based dc to ac power inverter and the plant’s electrical auxiliary systems.</w:t>
      </w:r>
    </w:p>
    <w:p>
      <w:pPr>
        <w:pStyle w:val="Normal"/>
        <w:jc w:val="both"/>
        <w:spacing w:after="120"/>
      </w:pPr>
      <w:r>
        <w:rPr>
          <w:b/>
          <w:sz w:val="24"/>
        </w:rPr>
        <w:t>Harbor Repowering Project -</w:t>
      </w:r>
      <w:r>
        <w:rPr>
          <w:sz w:val="24"/>
        </w:rPr>
        <w:t xml:space="preserve"> Provided the engineering design, procurement and construction support for plant electrical systems, including the 125Vdc, 250Vdc, and the 480Vac systems.</w:t>
      </w:r>
    </w:p>
    <w:p>
      <w:pPr>
        <w:pStyle w:val="Normal"/>
        <w:jc w:val="both"/>
        <w:spacing w:after="120"/>
      </w:pPr>
      <w:r>
        <w:rPr>
          <w:b/>
          <w:sz w:val="24"/>
        </w:rPr>
        <w:t xml:space="preserve">Hydro Generating Stations - </w:t>
      </w:r>
      <w:r>
        <w:rPr>
          <w:sz w:val="24"/>
        </w:rPr>
        <w:t>Provided engineering design and managed construction for plant additions and generator upgrades, including electrical distribution, communications, control, monitoring, and security systems.</w:t>
      </w:r>
    </w:p>
    <w:p>
      <w:pPr>
        <w:pStyle w:val="Normal"/>
        <w:jc w:val="both"/>
        <w:spacing w:after="120"/>
      </w:pPr>
      <w:r>
        <w:rPr>
          <w:b/>
          <w:sz w:val="24"/>
        </w:rPr>
        <w:t xml:space="preserve">IPP Converter Stations </w:t>
      </w:r>
      <w:r>
        <w:rPr>
          <w:sz w:val="24"/>
        </w:rPr>
      </w:r>
      <w:r>
        <w:rPr>
          <w:b/>
          <w:sz w:val="24"/>
        </w:rPr>
        <w:t>-</w:t>
      </w:r>
      <w:r>
        <w:rPr>
          <w:sz w:val="24"/>
        </w:rPr>
        <w:t xml:space="preserve"> Performed operations and safety studies of high-voltage electrical systems and administered construction contracts for the station’s auxiliary systems. </w:t>
      </w:r>
    </w:p>
    <w:p>
      <w:pPr>
        <w:pStyle w:val="Normal"/>
        <w:jc w:val="both"/>
        <w:spacing w:before="120" w:after="120"/>
      </w:pPr>
      <w:r>
        <w:rPr>
          <w:b/>
          <w:sz w:val="24"/>
        </w:rPr>
        <w:t>Aker Group of Norway (1977 - 1980):</w:t>
      </w:r>
    </w:p>
    <w:p>
      <w:pPr>
        <w:pStyle w:val="Normal"/>
        <w:jc w:val="both"/>
        <w:spacing w:after="120"/>
      </w:pPr>
      <w:r>
        <w:rPr>
          <w:b/>
          <w:sz w:val="24"/>
        </w:rPr>
        <w:t>Mechanical Field Engineer</w:t>
      </w:r>
      <w:r>
        <w:rPr>
          <w:sz w:val="24"/>
        </w:rPr>
        <w:t xml:space="preserve">, </w:t>
      </w:r>
      <w:r>
        <w:rPr>
          <w:b/>
          <w:sz w:val="24"/>
        </w:rPr>
        <w:t>Ekofisk Oilfield -</w:t>
      </w:r>
      <w:r>
        <w:rPr>
          <w:sz w:val="24"/>
        </w:rPr>
        <w:t xml:space="preserve"> Engaged in oil-field developments in the North Sea. Duties included providing engineering support for construction, and administering system tests and start-up tasks.</w:t>
      </w:r>
    </w:p>
    <w:p>
      <w:pPr>
        <w:pStyle w:val="Normal"/>
        <w:jc w:val="both"/>
        <w:spacing w:after="120"/>
      </w:pPr>
      <w:r>
        <w:rPr>
          <w:b/>
          <w:sz w:val="24"/>
        </w:rPr>
        <w:t>Mechanical</w:t>
      </w:r>
      <w:r>
        <w:rPr>
          <w:sz w:val="24"/>
        </w:rPr>
        <w:t xml:space="preserve"> </w:t>
      </w:r>
      <w:r>
        <w:rPr>
          <w:b/>
          <w:sz w:val="24"/>
        </w:rPr>
        <w:t>Design Engineer</w:t>
      </w:r>
      <w:r>
        <w:rPr>
          <w:sz w:val="24"/>
        </w:rPr>
        <w:t xml:space="preserve">, </w:t>
      </w:r>
      <w:r>
        <w:rPr>
          <w:b/>
          <w:sz w:val="24"/>
        </w:rPr>
        <w:t xml:space="preserve">Trondheim Yard - </w:t>
      </w:r>
      <w:r>
        <w:rPr>
          <w:sz w:val="24"/>
        </w:rPr>
        <w:t>Designer for offshore projects, including piping modules and supply ship’s modifications.</w:t>
      </w:r>
    </w:p>
    <w:p>
      <w:pPr>
        <w:pStyle w:val="Heading1"/>
        <w:spacing w:before="120" w:after="120"/>
      </w:pPr>
      <w:r>
        <w:rPr>
          <w:u w:val="single"/>
        </w:rPr>
        <w:t xml:space="preserve">Education, Licenses </w:t>
      </w:r>
    </w:p>
    <w:p>
      <w:pPr>
        <w:pStyle w:val="Normal"/>
        <w:jc w:val="both"/>
      </w:pPr>
      <w:r>
        <w:rPr>
          <w:b/>
          <w:sz w:val="24"/>
        </w:rPr>
        <w:t xml:space="preserve">MSEE, Electrical Engineering </w:t>
      </w:r>
      <w:r>
        <w:rPr>
          <w:sz w:val="24"/>
        </w:rPr>
        <w:t>- University of Southern California</w:t>
      </w:r>
    </w:p>
    <w:p>
      <w:pPr>
        <w:pStyle w:val="Normal"/>
        <w:jc w:val="both"/>
      </w:pPr>
      <w:r>
        <w:rPr>
          <w:b/>
          <w:sz w:val="24"/>
        </w:rPr>
        <w:t>BSEE, Electrical Engineering -</w:t>
      </w:r>
      <w:r>
        <w:rPr>
          <w:sz w:val="24"/>
        </w:rPr>
        <w:t xml:space="preserve"> University of Southern California</w:t>
      </w:r>
    </w:p>
    <w:p>
      <w:pPr>
        <w:pStyle w:val="Normal"/>
        <w:jc w:val="both"/>
      </w:pPr>
      <w:r>
        <w:rPr>
          <w:b/>
          <w:sz w:val="24"/>
        </w:rPr>
        <w:t>Mechanical Engineer Graduate -</w:t>
      </w:r>
      <w:r>
        <w:rPr>
          <w:sz w:val="24"/>
        </w:rPr>
        <w:t xml:space="preserve"> Trondheim Technical College, Norway</w:t>
      </w:r>
    </w:p>
    <w:p>
      <w:pPr>
        <w:pStyle w:val="Normal"/>
        <w:jc w:val="both"/>
      </w:pPr>
      <w:r>
        <w:rPr>
          <w:b/>
          <w:sz w:val="24"/>
        </w:rPr>
        <w:t xml:space="preserve">UCLA Extension - </w:t>
      </w:r>
      <w:r>
        <w:rPr>
          <w:sz w:val="24"/>
        </w:rPr>
        <w:t>Relational Database Management &amp; Application Development with Power Builder</w:t>
      </w:r>
    </w:p>
    <w:p>
      <w:pPr>
        <w:pStyle w:val="Normal"/>
        <w:jc w:val="both"/>
      </w:pPr>
      <w:r>
        <w:rPr>
          <w:b/>
          <w:sz w:val="24"/>
        </w:rPr>
        <w:t>Registered Electrical Engineer -</w:t>
      </w:r>
      <w:r>
        <w:rPr>
          <w:sz w:val="24"/>
        </w:rPr>
        <w:t xml:space="preserve"> E 12814, California</w:t>
      </w:r>
    </w:p>
    <w:p>
      <w:pPr>
        <w:pStyle w:val="Normal"/>
        <w:jc w:val="both"/>
      </w:pPr>
      <w:r>
        <w:rPr>
          <w:b/>
          <w:sz w:val="24"/>
        </w:rPr>
        <w:t>Licensed Private Pilot</w:t>
      </w:r>
    </w:p>
    <w:p>
      <w:pPr>
        <w:pStyle w:val="Heading1"/>
      </w:pPr>
      <w:r>
        <w:rPr>
          <w:sz w:val="24"/>
        </w:rPr>
        <w:t>Foreign Languages –</w:t>
      </w:r>
      <w:r>
        <w:rPr>
          <w:b/>
          <w:sz w:val="24"/>
        </w:rPr>
        <w:t xml:space="preserve"> Norwegian</w:t>
      </w:r>
      <w:r>
        <w:rPr>
          <w:b/>
          <w:sz w:val="24"/>
        </w:rPr>
        <w:t xml:space="preserve"> &amp; </w:t>
      </w:r>
      <w:r>
        <w:rPr>
          <w:b/>
          <w:sz w:val="24"/>
        </w:rPr>
        <w:t>German</w:t>
      </w:r>
    </w:p>
    <w:p>
      <w:pPr>
        <w:pStyle w:val="Heading4"/>
        <w:rPr>
          <w:b/>
        </w:rPr>
      </w:pPr>
    </w:p>
    <w:p>
      <w:pPr>
        <w:pStyle w:val="Heading4"/>
        <w:spacing w:after="120"/>
      </w:pPr>
      <w:r>
        <w:rPr>
          <w:b/>
        </w:rPr>
        <w:t>Other Experiences</w:t>
      </w:r>
    </w:p>
    <w:p>
      <w:pPr>
        <w:pStyle w:val="Heading5"/>
      </w:pPr>
      <w:r>
        <w:rPr/>
        <w:t>Norwegian Military Service – Army and Air Force</w:t>
      </w:r>
    </w:p>
    <w:p>
      <w:pPr>
        <w:pStyle w:val="Normal"/>
        <w:jc w:val="both"/>
      </w:pPr>
      <w:r>
        <w:rPr>
          <w:b/>
          <w:sz w:val="24"/>
        </w:rPr>
        <w:t>Norwegian Merchant Marine</w:t>
      </w:r>
    </w:p>
    <w:p>
      <w:pPr>
        <w:pStyle w:val="Normal"/>
        <w:jc w:val="both"/>
        <w:rPr>
          <w:b/>
          <w:sz w:val="24"/>
        </w:rPr>
      </w:pPr>
    </w:p>
    <w:sectPr>
      <w:pgSz w:w="12240" w:h="15840"/>
      <w:pgMar w:left="1008" w:right="1008" w:top="432" w:bottom="576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/>
    <w:rPr/>
  </w:style>
  <w:style w:type="paragraph" w:styleId="Heading1">
    <w:name w:val="Heading 1"/>
    <w:qFormat/>
    <w:basedOn w:val="Normal"/>
    <w:pPr>
      <w:jc w:val="both"/>
    </w:pPr>
    <w:rPr>
      <w:b/>
      <w:sz w:val="28"/>
    </w:rPr>
  </w:style>
  <w:style w:type="paragraph" w:styleId="Heading2">
    <w:name w:val="Heading 2"/>
    <w:qFormat/>
    <w:basedOn w:val="Normal"/>
    <w:pPr>
      <w:spacing w:before="240" w:after="60"/>
    </w:pPr>
    <w:rPr>
      <w:b/>
      <w:i/>
      <w:rFonts w:ascii="Arial" w:hAnsi="Arial"/>
      <w:sz w:val="24"/>
    </w:rPr>
  </w:style>
  <w:style w:type="paragraph" w:styleId="Heading3">
    <w:name w:val="Heading 3"/>
    <w:qFormat/>
    <w:basedOn w:val="Normal"/>
    <w:pPr>
      <w:jc w:val="both"/>
      <w:spacing w:after="120"/>
    </w:pPr>
    <w:rPr>
      <w:b/>
      <w:u w:val="single"/>
      <w:sz w:val="28"/>
    </w:rPr>
  </w:style>
  <w:style w:type="paragraph" w:styleId="Heading4">
    <w:name w:val="Heading 4"/>
    <w:qFormat/>
    <w:basedOn w:val="Normal"/>
    <w:pPr>
      <w:jc w:val="both"/>
    </w:pPr>
    <w:rPr>
      <w:u w:val="single"/>
      <w:sz w:val="28"/>
    </w:rPr>
  </w:style>
  <w:style w:type="paragraph" w:styleId="Heading5">
    <w:name w:val="Heading 5"/>
    <w:qFormat/>
    <w:basedOn w:val="Normal"/>
    <w:pPr>
      <w:jc w:val="both"/>
    </w:pPr>
    <w:rPr>
      <w:b/>
      <w:sz w:val="24"/>
    </w:rPr>
  </w:style>
  <w:style w:type="character" w:styleId="DefaultParagraphFont">
    <w:name w:val="Default Paragraph Font"/>
    <w:qFormat/>
  </w:style>
  <w:style w:type="table" w:styleId="TableNormal">
    <w:name w:val="Table Normal"/>
    <w:qFormat/>
    <w:pPr/>
    <w:tblPr>
      <w:tblStyle w:val="TableNormal"/>
      <w:tblLook w:val="1E0"/>
    </w:tblPr>
  </w:style>
  <w:style w:type="numbering" w:styleId="NoList">
    <w:name w:val="No List"/>
    <w:qFormat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